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A4882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Олива</w:t>
      </w:r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5A4882" w:rsidRPr="005A4882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 ДК</w:t>
      </w:r>
      <w:proofErr w:type="gram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021:2015 код 09210000-4 “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Мастильні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засоби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7573FE" w:rsidRPr="007277D4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конкретний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код </w:t>
      </w:r>
      <w:r w:rsidR="00633895"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 xml:space="preserve">09211100-2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“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Моторні оливи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”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)</w:t>
      </w:r>
    </w:p>
    <w:p w:rsidR="00633895" w:rsidRPr="007277D4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7277D4" w:rsidRPr="00454A84" w:rsidRDefault="00454A84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4A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UA-2024-12-09-018137-a</w:t>
      </w:r>
    </w:p>
    <w:p w:rsidR="00454A84" w:rsidRPr="009B5788" w:rsidRDefault="00454A84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Default="003B4B20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A6246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 безперебійної роботи 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двигуна </w:t>
      </w:r>
      <w:proofErr w:type="spellStart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 </w:t>
      </w:r>
      <w:r w:rsidR="00E1018A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який </w:t>
      </w:r>
      <w:r w:rsidR="009870B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встановлений на центральній котельні міста)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існує необхідність в Оливі MATRIX GE </w:t>
      </w:r>
      <w:r w:rsidR="00E13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A OIL 40.</w:t>
      </w:r>
    </w:p>
    <w:p w:rsidR="00860784" w:rsidRPr="00131C6E" w:rsidRDefault="00860784" w:rsidP="00454A84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Зміна оливи  може вплинути на експлуатаційні характеристики двигуна так як тривалий час використовувалася олива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Matrix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 </w:t>
      </w:r>
      <w:r w:rsidR="00E13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Oil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40, що показала позитивні експлуатаційні характеристики на роботі двигуна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 який працює на природному газі з 2004</w:t>
      </w:r>
      <w:r w:rsid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року.</w:t>
      </w:r>
      <w:r w:rsid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Змішувати оливу MATRIX GE </w:t>
      </w:r>
      <w:r w:rsidR="00E13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Oil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із іншими оливами не рекомендовано,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тому що</w:t>
      </w:r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інші оливи можуть блокувати якісні показники оливи MATRIX GE </w:t>
      </w:r>
      <w:r w:rsidR="00E13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bookmarkStart w:id="0" w:name="_GoBack"/>
      <w:bookmarkEnd w:id="0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Oil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40. Саме ця олива гарантує захист двигуна від іржі та </w:t>
      </w:r>
      <w:proofErr w:type="spellStart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корозій</w:t>
      </w:r>
      <w:proofErr w:type="spellEnd"/>
      <w:r w:rsidRPr="00860784">
        <w:rPr>
          <w:rFonts w:ascii="Times New Roman" w:hAnsi="Times New Roman" w:cs="Times New Roman"/>
          <w:color w:val="000000" w:themeColor="text1"/>
          <w:sz w:val="24"/>
          <w:szCs w:val="24"/>
        </w:rPr>
        <w:t>, захист від западання клапану, подовжений термін експлуатації та низькі витрати при випаровуванні.</w:t>
      </w:r>
    </w:p>
    <w:p w:rsidR="00633895" w:rsidRPr="009870BF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 на основі фактичної </w:t>
      </w:r>
      <w:r w:rsidR="00131C6E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F4614B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попередн</w:t>
      </w:r>
      <w:r w:rsidR="003B4B20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4614B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ік</w:t>
      </w:r>
      <w:r w:rsidR="00A033B1"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та наявності коштів у Замовника.</w:t>
      </w:r>
    </w:p>
    <w:p w:rsidR="00454A84" w:rsidRDefault="00454A8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3C12" w:rsidRDefault="00593C1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Технічні вимоги розроблені відповідно до виробничих потреб підприємства (Додаток №</w:t>
      </w:r>
      <w:r w:rsidR="005A48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300"/>
        <w:gridCol w:w="2929"/>
        <w:gridCol w:w="1984"/>
        <w:gridCol w:w="1438"/>
      </w:tblGrid>
      <w:tr w:rsidR="005A4882" w:rsidRPr="00651F3E" w:rsidTr="0029041A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Назва номенклатурної позиції предмета закупівлі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Строк поставки товарів, виконання робіт чи надання послу</w:t>
            </w:r>
          </w:p>
        </w:tc>
      </w:tr>
      <w:tr w:rsidR="005A4882" w:rsidRPr="00651F3E" w:rsidTr="0029041A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Олива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sz w:val="24"/>
                <w:szCs w:val="24"/>
              </w:rPr>
            </w:pPr>
          </w:p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 xml:space="preserve">(конкретний код 09211100-2 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“</w:t>
            </w: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>Моторні оливи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боч</w:t>
            </w:r>
            <w:r w:rsidR="00454A84">
              <w:rPr>
                <w:rFonts w:eastAsia="Calibri"/>
                <w:color w:val="000000" w:themeColor="text1"/>
                <w:sz w:val="24"/>
                <w:szCs w:val="24"/>
              </w:rPr>
              <w:t>ки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по 208 літрів (всього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832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літрів)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 Славутич, вул. Кленовий проїзд 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860784" w:rsidRDefault="00860784" w:rsidP="0029041A">
            <w:pPr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</w:pPr>
            <w:r w:rsidRPr="00860784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До 31.12.2024</w:t>
            </w:r>
          </w:p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454A8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277D4" w:rsidRPr="00454A84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184 264,00 грн. з ПДВ;  грн.  (сто вісімдесят чотири тисячі двісті шістдесят чотири гривні 00 коп.) </w:t>
      </w:r>
    </w:p>
    <w:p w:rsidR="00454A84" w:rsidRPr="007277D4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5A4882" w:rsidRPr="003067A1" w:rsidRDefault="005A4882" w:rsidP="005A488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107" w:rsidRDefault="00AF1107" w:rsidP="00385B26">
      <w:pPr>
        <w:spacing w:after="0" w:line="240" w:lineRule="auto"/>
      </w:pPr>
      <w:r>
        <w:separator/>
      </w:r>
    </w:p>
  </w:endnote>
  <w:endnote w:type="continuationSeparator" w:id="0">
    <w:p w:rsidR="00AF1107" w:rsidRDefault="00AF1107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107" w:rsidRDefault="00AF1107" w:rsidP="00385B26">
      <w:pPr>
        <w:spacing w:after="0" w:line="240" w:lineRule="auto"/>
      </w:pPr>
      <w:r>
        <w:separator/>
      </w:r>
    </w:p>
  </w:footnote>
  <w:footnote w:type="continuationSeparator" w:id="0">
    <w:p w:rsidR="00AF1107" w:rsidRDefault="00AF1107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131C6E"/>
    <w:rsid w:val="001776E0"/>
    <w:rsid w:val="00194C63"/>
    <w:rsid w:val="00195279"/>
    <w:rsid w:val="001E6721"/>
    <w:rsid w:val="001F6032"/>
    <w:rsid w:val="00206F1E"/>
    <w:rsid w:val="00221CB4"/>
    <w:rsid w:val="002A2026"/>
    <w:rsid w:val="002B621B"/>
    <w:rsid w:val="002E130D"/>
    <w:rsid w:val="002E2A8E"/>
    <w:rsid w:val="00313A4B"/>
    <w:rsid w:val="00323487"/>
    <w:rsid w:val="0032676A"/>
    <w:rsid w:val="003622B7"/>
    <w:rsid w:val="00385B26"/>
    <w:rsid w:val="003A5D67"/>
    <w:rsid w:val="003B4B20"/>
    <w:rsid w:val="003C5772"/>
    <w:rsid w:val="003D49EE"/>
    <w:rsid w:val="00454A84"/>
    <w:rsid w:val="004C368D"/>
    <w:rsid w:val="004C4FFB"/>
    <w:rsid w:val="004C52B5"/>
    <w:rsid w:val="0057576C"/>
    <w:rsid w:val="00593C12"/>
    <w:rsid w:val="005A4882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60784"/>
    <w:rsid w:val="00892AC7"/>
    <w:rsid w:val="008C3A13"/>
    <w:rsid w:val="008E038C"/>
    <w:rsid w:val="00957612"/>
    <w:rsid w:val="009870BF"/>
    <w:rsid w:val="00992CCD"/>
    <w:rsid w:val="009B5788"/>
    <w:rsid w:val="009F2A94"/>
    <w:rsid w:val="009F7E02"/>
    <w:rsid w:val="00A033B1"/>
    <w:rsid w:val="00AA5313"/>
    <w:rsid w:val="00AE1758"/>
    <w:rsid w:val="00AF1107"/>
    <w:rsid w:val="00B003E7"/>
    <w:rsid w:val="00B03F1A"/>
    <w:rsid w:val="00B62F78"/>
    <w:rsid w:val="00B70577"/>
    <w:rsid w:val="00B73B91"/>
    <w:rsid w:val="00C12954"/>
    <w:rsid w:val="00C67E0B"/>
    <w:rsid w:val="00CA769E"/>
    <w:rsid w:val="00CE43AC"/>
    <w:rsid w:val="00CF2574"/>
    <w:rsid w:val="00D162BA"/>
    <w:rsid w:val="00D2253F"/>
    <w:rsid w:val="00D61C08"/>
    <w:rsid w:val="00D731A8"/>
    <w:rsid w:val="00DC29B8"/>
    <w:rsid w:val="00E1018A"/>
    <w:rsid w:val="00E130E2"/>
    <w:rsid w:val="00E27E35"/>
    <w:rsid w:val="00E40C1E"/>
    <w:rsid w:val="00E6571D"/>
    <w:rsid w:val="00EB38B8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F2F1"/>
  <w15:docId w15:val="{D5EE9817-DBA3-4A96-9B09-EEBFE8E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48</cp:revision>
  <cp:lastPrinted>2021-10-11T07:27:00Z</cp:lastPrinted>
  <dcterms:created xsi:type="dcterms:W3CDTF">2021-09-02T15:13:00Z</dcterms:created>
  <dcterms:modified xsi:type="dcterms:W3CDTF">2024-12-11T17:42:00Z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